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Convince your Employer: </w:t>
      </w:r>
    </w:p>
    <w:p w:rsidR="00000000" w:rsidDel="00000000" w:rsidP="00000000" w:rsidRDefault="00000000" w:rsidRPr="00000000" w14:paraId="00000002">
      <w:pPr>
        <w:jc w:val="both"/>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 [  ],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would like to attend Facing Race, the largest multiracial, intergenerational conference for</w:t>
      </w:r>
    </w:p>
    <w:p w:rsidR="00000000" w:rsidDel="00000000" w:rsidP="00000000" w:rsidRDefault="00000000" w:rsidRPr="00000000" w14:paraId="00000006">
      <w:pPr>
        <w:rPr/>
      </w:pPr>
      <w:r w:rsidDel="00000000" w:rsidR="00000000" w:rsidRPr="00000000">
        <w:rPr>
          <w:rtl w:val="0"/>
        </w:rPr>
        <w:t xml:space="preserve">racial justice advocates. Facing Race is presented by </w:t>
      </w:r>
      <w:hyperlink r:id="rId6">
        <w:r w:rsidDel="00000000" w:rsidR="00000000" w:rsidRPr="00000000">
          <w:rPr>
            <w:color w:val="1155cc"/>
            <w:u w:val="single"/>
            <w:rtl w:val="0"/>
          </w:rPr>
          <w:t xml:space="preserve">Race Forward</w:t>
        </w:r>
      </w:hyperlink>
      <w:r w:rsidDel="00000000" w:rsidR="00000000" w:rsidRPr="00000000">
        <w:rPr>
          <w:rtl w:val="0"/>
        </w:rPr>
        <w:t xml:space="preserve">, an organization with nearly 40 years of advancing racial justice through research, media, and practice.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Facing Race will be held November 20-22, 2024 at the St. Louis Convention Center St. Louis, Missouri. This conference only takes place once every two years, so this is the time for our organization to take part in helping our country face race! </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Who attends Facing Race?</w:t>
      </w:r>
    </w:p>
    <w:p w:rsidR="00000000" w:rsidDel="00000000" w:rsidP="00000000" w:rsidRDefault="00000000" w:rsidRPr="00000000" w14:paraId="0000000B">
      <w:pPr>
        <w:rPr/>
      </w:pPr>
      <w:r w:rsidDel="00000000" w:rsidR="00000000" w:rsidRPr="00000000">
        <w:rPr>
          <w:rtl w:val="0"/>
        </w:rPr>
        <w:t xml:space="preserve">The people who attend Facing Race have one thing in common: they are committed to racial</w:t>
      </w:r>
    </w:p>
    <w:p w:rsidR="00000000" w:rsidDel="00000000" w:rsidP="00000000" w:rsidRDefault="00000000" w:rsidRPr="00000000" w14:paraId="0000000C">
      <w:pPr>
        <w:rPr/>
      </w:pPr>
      <w:r w:rsidDel="00000000" w:rsidR="00000000" w:rsidRPr="00000000">
        <w:rPr>
          <w:rtl w:val="0"/>
        </w:rPr>
        <w:t xml:space="preserve">equity and racial justice. The individuals who attend this conference do their work in</w:t>
      </w:r>
    </w:p>
    <w:p w:rsidR="00000000" w:rsidDel="00000000" w:rsidP="00000000" w:rsidRDefault="00000000" w:rsidRPr="00000000" w14:paraId="0000000D">
      <w:pPr>
        <w:rPr/>
      </w:pPr>
      <w:r w:rsidDel="00000000" w:rsidR="00000000" w:rsidRPr="00000000">
        <w:rPr>
          <w:rtl w:val="0"/>
        </w:rPr>
        <w:t xml:space="preserve">a variety of ways; some are organizers, academics, students, artists, and they work in for-profit</w:t>
      </w:r>
    </w:p>
    <w:p w:rsidR="00000000" w:rsidDel="00000000" w:rsidP="00000000" w:rsidRDefault="00000000" w:rsidRPr="00000000" w14:paraId="0000000E">
      <w:pPr>
        <w:rPr/>
      </w:pPr>
      <w:r w:rsidDel="00000000" w:rsidR="00000000" w:rsidRPr="00000000">
        <w:rPr>
          <w:rtl w:val="0"/>
        </w:rPr>
        <w:t xml:space="preserve">and non-profit sectors, representing organizations of all sizes.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What happens at Facing Race?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For three days, I will have access to a transformative experience.</w:t>
      </w:r>
      <w:r w:rsidDel="00000000" w:rsidR="00000000" w:rsidRPr="00000000">
        <w:rPr>
          <w:rtl w:val="0"/>
        </w:rPr>
        <w:t xml:space="preserve"> There are three different</w:t>
      </w:r>
    </w:p>
    <w:p w:rsidR="00000000" w:rsidDel="00000000" w:rsidP="00000000" w:rsidRDefault="00000000" w:rsidRPr="00000000" w14:paraId="00000013">
      <w:pPr>
        <w:rPr/>
      </w:pPr>
      <w:r w:rsidDel="00000000" w:rsidR="00000000" w:rsidRPr="00000000">
        <w:rPr>
          <w:rtl w:val="0"/>
        </w:rPr>
        <w:t xml:space="preserve">workshop tracks:</w:t>
      </w:r>
      <w:r w:rsidDel="00000000" w:rsidR="00000000" w:rsidRPr="00000000">
        <w:rPr>
          <w:rtl w:val="0"/>
        </w:rPr>
      </w:r>
    </w:p>
    <w:p w:rsidR="00000000" w:rsidDel="00000000" w:rsidP="00000000" w:rsidRDefault="00000000" w:rsidRPr="00000000" w14:paraId="00000014">
      <w:pPr>
        <w:numPr>
          <w:ilvl w:val="0"/>
          <w:numId w:val="1"/>
        </w:numPr>
        <w:ind w:left="720" w:hanging="360"/>
        <w:rPr>
          <w:u w:val="none"/>
        </w:rPr>
      </w:pPr>
      <w:r w:rsidDel="00000000" w:rsidR="00000000" w:rsidRPr="00000000">
        <w:rPr>
          <w:b w:val="1"/>
          <w:rtl w:val="0"/>
        </w:rPr>
        <w:t xml:space="preserve">Power to Organize: </w:t>
      </w:r>
      <w:r w:rsidDel="00000000" w:rsidR="00000000" w:rsidRPr="00000000">
        <w:rPr>
          <w:rtl w:val="0"/>
        </w:rPr>
        <w:t xml:space="preserve">Build and exercise the collective power, including governing power, of communities of color most impacted by racism and other systems of inequity. These sessions will highlight the organizing strategies, stories, and successes in communities and on the ground in relation to advancing racial justice.</w:t>
      </w:r>
      <w:r w:rsidDel="00000000" w:rsidR="00000000" w:rsidRPr="00000000">
        <w:rPr>
          <w:rtl w:val="0"/>
        </w:rPr>
      </w:r>
    </w:p>
    <w:p w:rsidR="00000000" w:rsidDel="00000000" w:rsidP="00000000" w:rsidRDefault="00000000" w:rsidRPr="00000000" w14:paraId="00000015">
      <w:pPr>
        <w:numPr>
          <w:ilvl w:val="0"/>
          <w:numId w:val="1"/>
        </w:numPr>
        <w:ind w:left="720" w:hanging="360"/>
        <w:rPr>
          <w:rFonts w:ascii="Helvetica Neue" w:cs="Helvetica Neue" w:eastAsia="Helvetica Neue" w:hAnsi="Helvetica Neue"/>
        </w:rPr>
      </w:pPr>
      <w:r w:rsidDel="00000000" w:rsidR="00000000" w:rsidRPr="00000000">
        <w:rPr>
          <w:b w:val="1"/>
          <w:rtl w:val="0"/>
        </w:rPr>
        <w:t xml:space="preserve">Power to Transform Institutions:</w:t>
      </w:r>
      <w:r w:rsidDel="00000000" w:rsidR="00000000" w:rsidRPr="00000000">
        <w:rPr>
          <w:rtl w:val="0"/>
        </w:rPr>
        <w:t xml:space="preserve"> Transform the public sector and public interest sectors so that they can govern for racial equity. These sessions will elevate strategies and solutions to normalize, operationalize, organize, and visualize racial equity in institutions, particularly the public sectors. What steps are we take to embed a racial equity in decision-making processes and policies that influence the material conditions of people of color. </w:t>
      </w:r>
    </w:p>
    <w:p w:rsidR="00000000" w:rsidDel="00000000" w:rsidP="00000000" w:rsidRDefault="00000000" w:rsidRPr="00000000" w14:paraId="00000016">
      <w:pPr>
        <w:numPr>
          <w:ilvl w:val="0"/>
          <w:numId w:val="1"/>
        </w:numPr>
        <w:ind w:left="720" w:hanging="360"/>
        <w:rPr>
          <w:rFonts w:ascii="Helvetica Neue" w:cs="Helvetica Neue" w:eastAsia="Helvetica Neue" w:hAnsi="Helvetica Neue"/>
        </w:rPr>
      </w:pPr>
      <w:r w:rsidDel="00000000" w:rsidR="00000000" w:rsidRPr="00000000">
        <w:rPr>
          <w:b w:val="1"/>
          <w:rtl w:val="0"/>
        </w:rPr>
        <w:t xml:space="preserve">Power to Shape Narrative: </w:t>
      </w:r>
      <w:r w:rsidDel="00000000" w:rsidR="00000000" w:rsidRPr="00000000">
        <w:rPr>
          <w:rtl w:val="0"/>
        </w:rPr>
        <w:t xml:space="preserve">Build narrative power that advances multiracial democracy and racial justice. Together, we explore tools for crafting compelling stories that challenge the status quo and promote unity.</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In addition to the valuable learning that will help our work continue in the right direction,</w:t>
      </w:r>
    </w:p>
    <w:p w:rsidR="00000000" w:rsidDel="00000000" w:rsidP="00000000" w:rsidRDefault="00000000" w:rsidRPr="00000000" w14:paraId="00000019">
      <w:pPr>
        <w:rPr/>
      </w:pPr>
      <w:r w:rsidDel="00000000" w:rsidR="00000000" w:rsidRPr="00000000">
        <w:rPr>
          <w:rtl w:val="0"/>
        </w:rPr>
        <w:t xml:space="preserve">there will be opportunities to connect with others who can strengthen and support our work.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How much does it cost to attend Facing Race, and what does that include?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Not only is attending Facing Race right for our organization, it is cost-effective and a value.</w:t>
      </w:r>
    </w:p>
    <w:p w:rsidR="00000000" w:rsidDel="00000000" w:rsidP="00000000" w:rsidRDefault="00000000" w:rsidRPr="00000000" w14:paraId="0000001E">
      <w:pPr>
        <w:rPr/>
      </w:pPr>
      <w:r w:rsidDel="00000000" w:rsidR="00000000" w:rsidRPr="00000000">
        <w:rPr>
          <w:rtl w:val="0"/>
        </w:rPr>
        <w:t xml:space="preserve">There are several attendance levels. </w:t>
      </w:r>
      <w:r w:rsidDel="00000000" w:rsidR="00000000" w:rsidRPr="00000000">
        <w:rPr>
          <w:rtl w:val="0"/>
        </w:rPr>
        <w:t xml:space="preserve">However, the Sustainer level is designed for individuals where their organization is contributing to their cost of attendance.</w:t>
      </w:r>
      <w:r w:rsidDel="00000000" w:rsidR="00000000" w:rsidRPr="00000000">
        <w:rPr>
          <w:rtl w:val="0"/>
        </w:rPr>
        <w:t xml:space="preserve"> </w:t>
      </w:r>
      <w:r w:rsidDel="00000000" w:rsidR="00000000" w:rsidRPr="00000000">
        <w:rPr>
          <w:rtl w:val="0"/>
        </w:rPr>
      </w:r>
    </w:p>
    <w:tbl>
      <w:tblPr>
        <w:tblStyle w:val="Table1"/>
        <w:tblW w:w="8730.0" w:type="dxa"/>
        <w:jc w:val="left"/>
        <w:tblInd w:w="510.0" w:type="dxa"/>
        <w:tblLayout w:type="fixed"/>
        <w:tblLook w:val="0600"/>
      </w:tblPr>
      <w:tblGrid>
        <w:gridCol w:w="3780"/>
        <w:gridCol w:w="4950"/>
        <w:tblGridChange w:id="0">
          <w:tblGrid>
            <w:gridCol w:w="3780"/>
            <w:gridCol w:w="495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F">
            <w:pPr>
              <w:spacing w:line="240" w:lineRule="auto"/>
              <w:jc w:val="center"/>
              <w:rPr/>
            </w:pPr>
            <w:r w:rsidDel="00000000" w:rsidR="00000000" w:rsidRPr="00000000">
              <w:rPr>
                <w:rtl w:val="0"/>
              </w:rPr>
              <w:t xml:space="preserve">Sustainer</w:t>
            </w:r>
          </w:p>
          <w:p w:rsidR="00000000" w:rsidDel="00000000" w:rsidP="00000000" w:rsidRDefault="00000000" w:rsidRPr="00000000" w14:paraId="00000020">
            <w:pPr>
              <w:spacing w:line="240" w:lineRule="auto"/>
              <w:jc w:val="center"/>
              <w:rPr/>
            </w:pPr>
            <w:r w:rsidDel="00000000" w:rsidR="00000000" w:rsidRPr="00000000">
              <w:rPr>
                <w:rtl w:val="0"/>
              </w:rPr>
              <w:t xml:space="preserve">Full conference access</w:t>
            </w:r>
          </w:p>
        </w:tc>
        <w:tc>
          <w:tcPr>
            <w:tcBorders>
              <w:top w:color="000000" w:space="0" w:sz="6" w:val="single"/>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center"/>
          </w:tcPr>
          <w:p w:rsidR="00000000" w:rsidDel="00000000" w:rsidP="00000000" w:rsidRDefault="00000000" w:rsidRPr="00000000" w14:paraId="00000021">
            <w:pPr>
              <w:spacing w:line="240" w:lineRule="auto"/>
              <w:jc w:val="center"/>
              <w:rPr/>
            </w:pPr>
            <w:r w:rsidDel="00000000" w:rsidR="00000000" w:rsidRPr="00000000">
              <w:rPr>
                <w:rtl w:val="0"/>
              </w:rPr>
              <w:t xml:space="preserve">$650.00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2">
            <w:pPr>
              <w:spacing w:line="240" w:lineRule="auto"/>
              <w:jc w:val="center"/>
              <w:rPr/>
            </w:pPr>
            <w:r w:rsidDel="00000000" w:rsidR="00000000" w:rsidRPr="00000000">
              <w:rPr>
                <w:rtl w:val="0"/>
              </w:rPr>
              <w:t xml:space="preserve">Early Bird Sustainer</w:t>
            </w:r>
          </w:p>
          <w:p w:rsidR="00000000" w:rsidDel="00000000" w:rsidP="00000000" w:rsidRDefault="00000000" w:rsidRPr="00000000" w14:paraId="00000023">
            <w:pPr>
              <w:spacing w:line="240" w:lineRule="auto"/>
              <w:jc w:val="center"/>
              <w:rPr/>
            </w:pPr>
            <w:r w:rsidDel="00000000" w:rsidR="00000000" w:rsidRPr="00000000">
              <w:rPr>
                <w:rtl w:val="0"/>
              </w:rPr>
              <w:t xml:space="preserve">Full conference access</w:t>
            </w:r>
          </w:p>
        </w:tc>
        <w:tc>
          <w:tcPr>
            <w:tcBorders>
              <w:top w:color="000000" w:space="0" w:sz="6" w:val="single"/>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center"/>
          </w:tcPr>
          <w:p w:rsidR="00000000" w:rsidDel="00000000" w:rsidP="00000000" w:rsidRDefault="00000000" w:rsidRPr="00000000" w14:paraId="00000024">
            <w:pPr>
              <w:spacing w:line="240" w:lineRule="auto"/>
              <w:jc w:val="center"/>
              <w:rPr/>
            </w:pPr>
            <w:r w:rsidDel="00000000" w:rsidR="00000000" w:rsidRPr="00000000">
              <w:rPr>
                <w:rtl w:val="0"/>
              </w:rPr>
              <w:t xml:space="preserve">$552.50</w:t>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This registration includes full access to conference materials, breakfast and lunch on Thursday &amp; Friday, November 21st &amp; 22nd.</w:t>
      </w:r>
      <w:r w:rsidDel="00000000" w:rsidR="00000000" w:rsidRPr="00000000">
        <w:rPr>
          <w:rtl w:val="0"/>
        </w:rPr>
        <w:t xml:space="preserve"> Take advantage of the early bird rate and get 15% off when you register by February 1st 2024</w:t>
      </w: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Discounted room rates will be available</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r>
    </w:p>
    <w:tbl>
      <w:tblPr>
        <w:tblStyle w:val="Table2"/>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3"/>
                <w:szCs w:val="23"/>
                <w:shd w:fill="f8f8f8" w:val="clear"/>
              </w:rPr>
            </w:pPr>
            <w:r w:rsidDel="00000000" w:rsidR="00000000" w:rsidRPr="00000000">
              <w:rPr>
                <w:color w:val="1d1c1d"/>
                <w:sz w:val="23"/>
                <w:szCs w:val="23"/>
                <w:shd w:fill="f8f8f8" w:val="clear"/>
                <w:rtl w:val="0"/>
              </w:rPr>
              <w:t xml:space="preserve">Marriott St Louis Grand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3"/>
                <w:szCs w:val="23"/>
                <w:shd w:fill="f8f8f8" w:val="clear"/>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1d1c1d"/>
                <w:sz w:val="23"/>
                <w:szCs w:val="23"/>
                <w:shd w:fill="f8f8f8" w:val="clear"/>
                <w:rtl w:val="0"/>
              </w:rPr>
              <w:t xml:space="preserve">For standard single and double rooms.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1d1c1d"/>
                <w:sz w:val="23"/>
                <w:szCs w:val="23"/>
                <w:shd w:fill="f8f8f8" w:val="clear"/>
                <w:rtl w:val="0"/>
              </w:rPr>
              <w:t xml:space="preserve">$199.00 + 18.929% tax </w:t>
            </w:r>
            <w:r w:rsidDel="00000000" w:rsidR="00000000" w:rsidRPr="00000000">
              <w:rPr>
                <w:rtl w:val="0"/>
              </w:rPr>
            </w:r>
          </w:p>
        </w:tc>
      </w:tr>
      <w:tr>
        <w:trPr>
          <w:cantSplit w:val="0"/>
          <w:trHeight w:val="902.9101562499999"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shd w:fill="ffffff" w:val="clear"/>
              <w:spacing w:after="300" w:before="160" w:line="240" w:lineRule="auto"/>
              <w:rPr>
                <w:color w:val="1d1c1d"/>
                <w:sz w:val="23"/>
                <w:szCs w:val="23"/>
                <w:shd w:fill="f8f8f8" w:val="clear"/>
              </w:rPr>
            </w:pPr>
            <w:r w:rsidDel="00000000" w:rsidR="00000000" w:rsidRPr="00000000">
              <w:rPr>
                <w:color w:val="1d1c1d"/>
                <w:sz w:val="23"/>
                <w:szCs w:val="23"/>
                <w:shd w:fill="f8f8f8" w:val="clear"/>
                <w:rtl w:val="0"/>
              </w:rPr>
              <w:t xml:space="preserve">Courtyard St. Louis Downtown/Convention Center</w:t>
            </w:r>
          </w:p>
          <w:p w:rsidR="00000000" w:rsidDel="00000000" w:rsidP="00000000" w:rsidRDefault="00000000" w:rsidRPr="00000000" w14:paraId="00000031">
            <w:pPr>
              <w:widowControl w:val="0"/>
              <w:shd w:fill="ffffff" w:val="clear"/>
              <w:spacing w:after="300" w:before="160" w:line="240" w:lineRule="auto"/>
              <w:rPr>
                <w:color w:val="1d1c1d"/>
                <w:sz w:val="23"/>
                <w:szCs w:val="23"/>
                <w:shd w:fill="f8f8f8" w:val="clear"/>
              </w:rPr>
            </w:pPr>
            <w:r w:rsidDel="00000000" w:rsidR="00000000" w:rsidRPr="00000000">
              <w:rPr>
                <w:color w:val="1d1c1d"/>
                <w:sz w:val="23"/>
                <w:szCs w:val="23"/>
                <w:shd w:fill="f8f8f8" w:val="clear"/>
                <w:rtl w:val="0"/>
              </w:rPr>
              <w:t xml:space="preserve">For standard single and double rooms.</w:t>
            </w:r>
          </w:p>
          <w:p w:rsidR="00000000" w:rsidDel="00000000" w:rsidP="00000000" w:rsidRDefault="00000000" w:rsidRPr="00000000" w14:paraId="00000032">
            <w:pPr>
              <w:widowControl w:val="0"/>
              <w:spacing w:line="240" w:lineRule="auto"/>
              <w:rPr>
                <w:b w:val="1"/>
                <w:color w:val="1d1c1d"/>
                <w:sz w:val="23"/>
                <w:szCs w:val="23"/>
                <w:shd w:fill="f8f8f8" w:val="clear"/>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3"/>
                <w:szCs w:val="23"/>
                <w:shd w:fill="f8f8f8" w:val="clea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3"/>
                <w:szCs w:val="23"/>
                <w:shd w:fill="f8f8f8" w:val="clear"/>
              </w:rPr>
            </w:pPr>
            <w:r w:rsidDel="00000000" w:rsidR="00000000" w:rsidRPr="00000000">
              <w:rPr>
                <w:color w:val="1d1c1d"/>
                <w:sz w:val="23"/>
                <w:szCs w:val="23"/>
                <w:highlight w:val="white"/>
                <w:rtl w:val="0"/>
              </w:rPr>
              <w:t xml:space="preserve">$169.00 + 18.929% tax</w:t>
            </w: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Because registration within an organization can be transferred, there is no risk that our organization will not be able to take advantage of this opportunity. But we should register today!</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Here is an estimate of the costs associated with attending Facing Race: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Airfare: ____________</w:t>
      </w:r>
    </w:p>
    <w:p w:rsidR="00000000" w:rsidDel="00000000" w:rsidP="00000000" w:rsidRDefault="00000000" w:rsidRPr="00000000" w14:paraId="0000003C">
      <w:pPr>
        <w:rPr/>
      </w:pPr>
      <w:r w:rsidDel="00000000" w:rsidR="00000000" w:rsidRPr="00000000">
        <w:rPr>
          <w:rtl w:val="0"/>
        </w:rPr>
        <w:t xml:space="preserve">Transportation: ____________</w:t>
      </w:r>
    </w:p>
    <w:p w:rsidR="00000000" w:rsidDel="00000000" w:rsidP="00000000" w:rsidRDefault="00000000" w:rsidRPr="00000000" w14:paraId="0000003D">
      <w:pPr>
        <w:rPr/>
      </w:pPr>
      <w:r w:rsidDel="00000000" w:rsidR="00000000" w:rsidRPr="00000000">
        <w:rPr>
          <w:rtl w:val="0"/>
        </w:rPr>
        <w:t xml:space="preserve">Hotel: ____________</w:t>
      </w:r>
    </w:p>
    <w:p w:rsidR="00000000" w:rsidDel="00000000" w:rsidP="00000000" w:rsidRDefault="00000000" w:rsidRPr="00000000" w14:paraId="0000003E">
      <w:pPr>
        <w:rPr/>
      </w:pPr>
      <w:r w:rsidDel="00000000" w:rsidR="00000000" w:rsidRPr="00000000">
        <w:rPr>
          <w:rtl w:val="0"/>
        </w:rPr>
        <w:t xml:space="preserve">Meals: ____________</w:t>
      </w:r>
    </w:p>
    <w:p w:rsidR="00000000" w:rsidDel="00000000" w:rsidP="00000000" w:rsidRDefault="00000000" w:rsidRPr="00000000" w14:paraId="0000003F">
      <w:pPr>
        <w:rPr/>
      </w:pPr>
      <w:r w:rsidDel="00000000" w:rsidR="00000000" w:rsidRPr="00000000">
        <w:rPr>
          <w:rtl w:val="0"/>
        </w:rPr>
        <w:t xml:space="preserve">Conference Ticket: ____________</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rtl w:val="0"/>
        </w:rPr>
        <w:t xml:space="preserve">Total expense request:</w:t>
      </w:r>
      <w:r w:rsidDel="00000000" w:rsidR="00000000" w:rsidRPr="00000000">
        <w:rPr>
          <w:rtl w:val="0"/>
        </w:rPr>
        <w:t xml:space="preserve"> ____________</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Testimonials</w:t>
      </w:r>
    </w:p>
    <w:p w:rsidR="00000000" w:rsidDel="00000000" w:rsidP="00000000" w:rsidRDefault="00000000" w:rsidRPr="00000000" w14:paraId="00000046">
      <w:pPr>
        <w:rPr/>
      </w:pPr>
      <w:r w:rsidDel="00000000" w:rsidR="00000000" w:rsidRPr="00000000">
        <w:rPr>
          <w:rtl w:val="0"/>
        </w:rPr>
        <w:t xml:space="preserve">You can find comments from those who attended past Facing Race conferences and read what</w:t>
      </w:r>
    </w:p>
    <w:p w:rsidR="00000000" w:rsidDel="00000000" w:rsidP="00000000" w:rsidRDefault="00000000" w:rsidRPr="00000000" w14:paraId="00000047">
      <w:pPr>
        <w:rPr/>
      </w:pPr>
      <w:r w:rsidDel="00000000" w:rsidR="00000000" w:rsidRPr="00000000">
        <w:rPr>
          <w:rtl w:val="0"/>
        </w:rPr>
        <w:t xml:space="preserve">they had to say about their experience by visiting </w:t>
      </w:r>
      <w:hyperlink r:id="rId7">
        <w:r w:rsidDel="00000000" w:rsidR="00000000" w:rsidRPr="00000000">
          <w:rPr>
            <w:color w:val="1155cc"/>
            <w:u w:val="single"/>
            <w:rtl w:val="0"/>
          </w:rPr>
          <w:t xml:space="preserve">https://facingrace.raceforward.org/</w:t>
        </w:r>
      </w:hyperlink>
      <w:r w:rsidDel="00000000" w:rsidR="00000000" w:rsidRPr="00000000">
        <w:rPr>
          <w:rtl w:val="0"/>
        </w:rPr>
        <w:t xml:space="preserv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Thank you for your consideration.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aceforward.org/" TargetMode="External"/><Relationship Id="rId7" Type="http://schemas.openxmlformats.org/officeDocument/2006/relationships/hyperlink" Target="https://facingrace.raceforwar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